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8" w:rsidRPr="00C34AAC" w:rsidRDefault="007707F8" w:rsidP="007707F8">
      <w:pPr>
        <w:tabs>
          <w:tab w:val="left" w:pos="7020"/>
          <w:tab w:val="left" w:pos="10170"/>
        </w:tabs>
        <w:spacing w:line="240" w:lineRule="auto"/>
        <w:jc w:val="center"/>
        <w:rPr>
          <w:rFonts w:ascii="Candara" w:hAnsi="Candara"/>
          <w:sz w:val="52"/>
        </w:rPr>
      </w:pPr>
      <w:bookmarkStart w:id="0" w:name="_GoBack"/>
      <w:bookmarkEnd w:id="0"/>
      <w:r w:rsidRPr="00C34AAC">
        <w:rPr>
          <w:rFonts w:ascii="Candara" w:hAnsi="Candara"/>
          <w:sz w:val="52"/>
        </w:rPr>
        <w:t>The National Elections Commission</w:t>
      </w:r>
    </w:p>
    <w:p w:rsidR="007707F8" w:rsidRPr="00C34AAC" w:rsidRDefault="007707F8" w:rsidP="007707F8">
      <w:pPr>
        <w:spacing w:line="240" w:lineRule="auto"/>
        <w:jc w:val="center"/>
        <w:rPr>
          <w:rFonts w:ascii="Candara" w:hAnsi="Candara"/>
          <w:sz w:val="36"/>
        </w:rPr>
      </w:pPr>
      <w:r w:rsidRPr="00C34AAC">
        <w:rPr>
          <w:rFonts w:ascii="Candara" w:hAnsi="Candara"/>
          <w:sz w:val="36"/>
        </w:rPr>
        <w:t>9</w:t>
      </w:r>
      <w:r w:rsidRPr="00C34AAC">
        <w:rPr>
          <w:rFonts w:ascii="Candara" w:hAnsi="Candara"/>
          <w:sz w:val="36"/>
          <w:vertAlign w:val="superscript"/>
        </w:rPr>
        <w:t>th</w:t>
      </w:r>
      <w:r w:rsidRPr="00C34AAC">
        <w:rPr>
          <w:rFonts w:ascii="Candara" w:hAnsi="Candara"/>
          <w:sz w:val="36"/>
        </w:rPr>
        <w:t xml:space="preserve"> and 10</w:t>
      </w:r>
      <w:r w:rsidRPr="00C34AAC">
        <w:rPr>
          <w:rFonts w:ascii="Candara" w:hAnsi="Candara"/>
          <w:sz w:val="36"/>
          <w:vertAlign w:val="superscript"/>
        </w:rPr>
        <w:t>th</w:t>
      </w:r>
      <w:r w:rsidRPr="00C34AAC">
        <w:rPr>
          <w:rFonts w:ascii="Candara" w:hAnsi="Candara"/>
          <w:sz w:val="36"/>
        </w:rPr>
        <w:t xml:space="preserve"> Streets, Sinkor</w:t>
      </w:r>
    </w:p>
    <w:p w:rsidR="007707F8" w:rsidRPr="00C34AAC" w:rsidRDefault="007707F8" w:rsidP="007707F8">
      <w:pPr>
        <w:spacing w:line="240" w:lineRule="auto"/>
        <w:jc w:val="center"/>
        <w:rPr>
          <w:rFonts w:ascii="Candara" w:hAnsi="Candara"/>
          <w:b/>
          <w:sz w:val="32"/>
        </w:rPr>
      </w:pPr>
      <w:r w:rsidRPr="00C34AAC">
        <w:rPr>
          <w:rFonts w:ascii="Candara" w:hAnsi="Candara"/>
          <w:b/>
          <w:sz w:val="28"/>
        </w:rPr>
        <w:t>Monrovia, Liberia</w:t>
      </w:r>
    </w:p>
    <w:p w:rsidR="007707F8" w:rsidRPr="00C34AAC" w:rsidRDefault="007707F8" w:rsidP="007707F8">
      <w:pPr>
        <w:spacing w:line="240" w:lineRule="auto"/>
        <w:jc w:val="both"/>
        <w:rPr>
          <w:rFonts w:ascii="Candara" w:hAnsi="Candara"/>
          <w:b/>
          <w:sz w:val="24"/>
        </w:rPr>
      </w:pPr>
    </w:p>
    <w:p w:rsidR="007707F8" w:rsidRPr="00293D67" w:rsidRDefault="007707F8" w:rsidP="007707F8">
      <w:pPr>
        <w:tabs>
          <w:tab w:val="left" w:pos="8550"/>
        </w:tabs>
        <w:jc w:val="center"/>
        <w:rPr>
          <w:rFonts w:ascii="Century Gothic" w:hAnsi="Century Gothic"/>
          <w:b/>
          <w:sz w:val="32"/>
          <w:u w:val="single"/>
        </w:rPr>
      </w:pPr>
      <w:r w:rsidRPr="00293D67">
        <w:rPr>
          <w:rFonts w:ascii="Century Gothic" w:hAnsi="Century Gothic"/>
          <w:b/>
          <w:sz w:val="32"/>
          <w:u w:val="single"/>
        </w:rPr>
        <w:t>INVITATION TO BID</w:t>
      </w:r>
    </w:p>
    <w:p w:rsidR="007707F8" w:rsidRPr="00293D67" w:rsidRDefault="007707F8" w:rsidP="007707F8">
      <w:pPr>
        <w:jc w:val="both"/>
        <w:rPr>
          <w:rFonts w:ascii="Century Gothic" w:hAnsi="Century Gothic"/>
          <w:b/>
          <w:sz w:val="32"/>
          <w:u w:val="single"/>
        </w:rPr>
      </w:pPr>
    </w:p>
    <w:p w:rsidR="007707F8" w:rsidRPr="00293D67" w:rsidRDefault="007707F8" w:rsidP="007707F8">
      <w:pPr>
        <w:widowControl w:val="0"/>
        <w:tabs>
          <w:tab w:val="left" w:pos="450"/>
        </w:tabs>
        <w:suppressAutoHyphens/>
        <w:autoSpaceDE w:val="0"/>
        <w:autoSpaceDN w:val="0"/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333333"/>
          <w:kern w:val="3"/>
          <w:lang w:eastAsia="zh-CN" w:bidi="hi-IN"/>
        </w:rPr>
      </w:pPr>
      <w:r w:rsidRPr="00293D67">
        <w:rPr>
          <w:rFonts w:ascii="Century Gothic" w:eastAsia="Times New Roman" w:hAnsi="Century Gothic" w:cs="Times New Roman"/>
          <w:color w:val="333333"/>
          <w:kern w:val="3"/>
          <w:lang w:eastAsia="zh-CN" w:bidi="hi-IN"/>
        </w:rPr>
        <w:t xml:space="preserve">The National Elections Commission anticipates funding from the Government of Liberia for the 2017/2018 fiscal period and intends to allocate a portion of said funding towards </w:t>
      </w:r>
      <w:r w:rsidRPr="00293D67">
        <w:rPr>
          <w:rFonts w:ascii="Century Gothic" w:hAnsi="Century Gothic"/>
        </w:rPr>
        <w:t xml:space="preserve">procuring vehicles for usage by the National Elections Commission. </w:t>
      </w:r>
    </w:p>
    <w:p w:rsidR="007707F8" w:rsidRPr="00293D67" w:rsidRDefault="007707F8" w:rsidP="007707F8">
      <w:pPr>
        <w:widowControl w:val="0"/>
        <w:tabs>
          <w:tab w:val="left" w:pos="450"/>
        </w:tabs>
        <w:suppressAutoHyphens/>
        <w:autoSpaceDE w:val="0"/>
        <w:autoSpaceDN w:val="0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kern w:val="3"/>
          <w:lang w:eastAsia="zh-CN" w:bidi="hi-IN"/>
        </w:rPr>
      </w:pPr>
    </w:p>
    <w:p w:rsidR="007707F8" w:rsidRPr="00293D67" w:rsidRDefault="007707F8" w:rsidP="007707F8">
      <w:pPr>
        <w:contextualSpacing/>
        <w:rPr>
          <w:rFonts w:ascii="Century Gothic" w:eastAsia="Calibri" w:hAnsi="Century Gothic" w:cs="Times New Roman"/>
        </w:rPr>
      </w:pPr>
      <w:r w:rsidRPr="00293D67">
        <w:rPr>
          <w:rFonts w:ascii="Century Gothic" w:eastAsia="Calibri" w:hAnsi="Century Gothic" w:cs="Times New Roman"/>
        </w:rPr>
        <w:t>The supply of Vehicles as per NEC requirements are listed below:</w:t>
      </w:r>
    </w:p>
    <w:p w:rsidR="007707F8" w:rsidRPr="00293D67" w:rsidRDefault="007707F8" w:rsidP="007707F8">
      <w:pPr>
        <w:contextualSpacing/>
        <w:rPr>
          <w:rFonts w:ascii="Century Gothic" w:eastAsia="Calibri" w:hAnsi="Century Gothic" w:cs="Times New Roman"/>
        </w:rPr>
      </w:pPr>
    </w:p>
    <w:tbl>
      <w:tblPr>
        <w:tblW w:w="123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850"/>
        <w:gridCol w:w="1620"/>
        <w:gridCol w:w="3960"/>
      </w:tblGrid>
      <w:tr w:rsidR="007707F8" w:rsidRPr="00293D67" w:rsidTr="00F71CE3">
        <w:trPr>
          <w:trHeight w:val="154"/>
        </w:trPr>
        <w:tc>
          <w:tcPr>
            <w:tcW w:w="900" w:type="dxa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  <w:b/>
              </w:rPr>
            </w:pPr>
            <w:r w:rsidRPr="00293D67">
              <w:rPr>
                <w:rFonts w:ascii="Century Gothic" w:eastAsia="Calibri" w:hAnsi="Century Gothic" w:cs="Times New Roman"/>
                <w:b/>
              </w:rPr>
              <w:t>Lots</w:t>
            </w:r>
          </w:p>
        </w:tc>
        <w:tc>
          <w:tcPr>
            <w:tcW w:w="585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  <w:b/>
              </w:rPr>
            </w:pPr>
            <w:r w:rsidRPr="00293D67">
              <w:rPr>
                <w:rFonts w:ascii="Century Gothic" w:eastAsia="Calibri" w:hAnsi="Century Gothic" w:cs="Times New Roman"/>
                <w:b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  <w:b/>
              </w:rPr>
            </w:pPr>
            <w:r w:rsidRPr="00293D67">
              <w:rPr>
                <w:rFonts w:ascii="Century Gothic" w:eastAsia="Calibri" w:hAnsi="Century Gothic" w:cs="Times New Roman"/>
                <w:b/>
              </w:rPr>
              <w:t>Quantity</w:t>
            </w:r>
          </w:p>
        </w:tc>
        <w:tc>
          <w:tcPr>
            <w:tcW w:w="396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  <w:b/>
              </w:rPr>
            </w:pPr>
            <w:r w:rsidRPr="00293D67">
              <w:rPr>
                <w:rFonts w:ascii="Century Gothic" w:eastAsia="Calibri" w:hAnsi="Century Gothic" w:cs="Times New Roman"/>
                <w:b/>
              </w:rPr>
              <w:t>Delivery Schedule</w:t>
            </w:r>
          </w:p>
        </w:tc>
      </w:tr>
      <w:tr w:rsidR="007707F8" w:rsidRPr="00293D67" w:rsidTr="00F71CE3">
        <w:trPr>
          <w:trHeight w:val="890"/>
        </w:trPr>
        <w:tc>
          <w:tcPr>
            <w:tcW w:w="900" w:type="dxa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 xml:space="preserve"> 1</w:t>
            </w:r>
          </w:p>
        </w:tc>
        <w:tc>
          <w:tcPr>
            <w:tcW w:w="585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  <w:color w:val="000000" w:themeColor="text1"/>
              </w:rPr>
              <w:t>Bus -30 Seater -3500cc minimum</w:t>
            </w:r>
            <w:r w:rsidRPr="00293D67">
              <w:rPr>
                <w:rFonts w:ascii="Century Gothic" w:eastAsia="Calibri" w:hAnsi="Century Gothic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>As per the Contract</w:t>
            </w:r>
          </w:p>
        </w:tc>
      </w:tr>
      <w:tr w:rsidR="007707F8" w:rsidRPr="00293D67" w:rsidTr="00F71CE3">
        <w:trPr>
          <w:trHeight w:val="890"/>
        </w:trPr>
        <w:tc>
          <w:tcPr>
            <w:tcW w:w="900" w:type="dxa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  <w:color w:val="000000" w:themeColor="text1"/>
              </w:rPr>
              <w:t xml:space="preserve">Mini Bus -15 Seater -2900cc minimum </w:t>
            </w:r>
          </w:p>
        </w:tc>
        <w:tc>
          <w:tcPr>
            <w:tcW w:w="162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707F8" w:rsidRPr="00293D67" w:rsidRDefault="007707F8" w:rsidP="007536D6">
            <w:pPr>
              <w:spacing w:line="240" w:lineRule="auto"/>
              <w:contextualSpacing/>
              <w:rPr>
                <w:rFonts w:ascii="Century Gothic" w:eastAsia="Calibri" w:hAnsi="Century Gothic" w:cs="Times New Roman"/>
              </w:rPr>
            </w:pPr>
            <w:r w:rsidRPr="00293D67">
              <w:rPr>
                <w:rFonts w:ascii="Century Gothic" w:eastAsia="Calibri" w:hAnsi="Century Gothic" w:cs="Times New Roman"/>
              </w:rPr>
              <w:t>As per the Contract</w:t>
            </w:r>
          </w:p>
        </w:tc>
      </w:tr>
    </w:tbl>
    <w:p w:rsidR="007707F8" w:rsidRPr="00293D67" w:rsidRDefault="007707F8" w:rsidP="007707F8">
      <w:pPr>
        <w:spacing w:line="240" w:lineRule="auto"/>
        <w:jc w:val="both"/>
        <w:rPr>
          <w:rFonts w:ascii="Century Gothic" w:eastAsia="Times New Roman" w:hAnsi="Century Gothic" w:cs="Times New Roman"/>
          <w:b/>
        </w:rPr>
      </w:pPr>
      <w:r w:rsidRPr="00293D67">
        <w:rPr>
          <w:rFonts w:ascii="Century Gothic" w:eastAsia="Times New Roman" w:hAnsi="Century Gothic" w:cs="Times New Roman"/>
          <w:b/>
        </w:rPr>
        <w:t xml:space="preserve"> </w:t>
      </w:r>
    </w:p>
    <w:p w:rsidR="007707F8" w:rsidRPr="00293D67" w:rsidRDefault="007707F8" w:rsidP="007707F8">
      <w:pPr>
        <w:jc w:val="both"/>
        <w:rPr>
          <w:rFonts w:ascii="Century Gothic" w:hAnsi="Century Gothic"/>
        </w:rPr>
      </w:pPr>
    </w:p>
    <w:p w:rsidR="007707F8" w:rsidRPr="00293D67" w:rsidRDefault="007707F8" w:rsidP="007707F8">
      <w:pPr>
        <w:jc w:val="both"/>
        <w:rPr>
          <w:rFonts w:ascii="Century Gothic" w:hAnsi="Century Gothic"/>
        </w:rPr>
      </w:pPr>
      <w:r w:rsidRPr="00293D67">
        <w:rPr>
          <w:rFonts w:ascii="Century Gothic" w:hAnsi="Century Gothic"/>
        </w:rPr>
        <w:t>The NEC now invites sealed bids from eligible and qualified bidders for the</w:t>
      </w:r>
      <w:r>
        <w:rPr>
          <w:rFonts w:ascii="Century Gothic" w:hAnsi="Century Gothic"/>
        </w:rPr>
        <w:t xml:space="preserve"> above listed contract package. </w:t>
      </w:r>
      <w:r w:rsidRPr="00293D67">
        <w:rPr>
          <w:rFonts w:ascii="Century Gothic" w:hAnsi="Century Gothic"/>
        </w:rPr>
        <w:t>Bidding will be conducted through the National Competitive Bidding (NCB) procedure specified in the PPC Act and is open to all bidders.</w:t>
      </w:r>
      <w:r>
        <w:rPr>
          <w:rFonts w:ascii="Century Gothic" w:hAnsi="Century Gothic"/>
        </w:rPr>
        <w:t xml:space="preserve"> </w:t>
      </w:r>
      <w:r w:rsidRPr="00293D67">
        <w:rPr>
          <w:rFonts w:ascii="Century Gothic" w:hAnsi="Century Gothic"/>
        </w:rPr>
        <w:t>Interested eligible bidders may obtain further information from the address below from 9:30am to 4:30pm, Monday to Friday: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t>THE DIRECTOR OF PROCUREMENT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t>Ground FLOOR, ROOM 73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t>National Elections Commission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t>9th / 10th Streets Sinkor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lastRenderedPageBreak/>
        <w:t>1000 MONROVIA 10, LIBERIA</w:t>
      </w:r>
    </w:p>
    <w:p w:rsidR="007707F8" w:rsidRPr="00293D67" w:rsidRDefault="007707F8" w:rsidP="007707F8">
      <w:pPr>
        <w:pStyle w:val="ListParagraph"/>
        <w:jc w:val="both"/>
        <w:rPr>
          <w:rFonts w:ascii="Century Gothic" w:hAnsi="Century Gothic"/>
          <w:b/>
        </w:rPr>
      </w:pPr>
      <w:r w:rsidRPr="00293D67">
        <w:rPr>
          <w:rFonts w:ascii="Century Gothic" w:hAnsi="Century Gothic"/>
          <w:b/>
        </w:rPr>
        <w:t xml:space="preserve">MOBILE NUMBER: 0770355892 </w:t>
      </w:r>
    </w:p>
    <w:p w:rsidR="007707F8" w:rsidRPr="00293D67" w:rsidRDefault="007707F8" w:rsidP="007707F8">
      <w:pPr>
        <w:jc w:val="both"/>
        <w:rPr>
          <w:rFonts w:ascii="Century Gothic" w:hAnsi="Century Gothic"/>
          <w:b/>
          <w:color w:val="FF0000"/>
        </w:rPr>
      </w:pPr>
    </w:p>
    <w:p w:rsidR="007707F8" w:rsidRPr="00293D67" w:rsidRDefault="007707F8" w:rsidP="007707F8">
      <w:pPr>
        <w:jc w:val="both"/>
        <w:rPr>
          <w:rFonts w:ascii="Century Gothic" w:hAnsi="Century Gothic"/>
        </w:rPr>
      </w:pPr>
      <w:r w:rsidRPr="00293D67">
        <w:rPr>
          <w:rFonts w:ascii="Century Gothic" w:hAnsi="Century Gothic"/>
        </w:rPr>
        <w:t>Qualifications requirements include the follow:</w:t>
      </w:r>
    </w:p>
    <w:p w:rsidR="007707F8" w:rsidRPr="00293D67" w:rsidRDefault="007707F8" w:rsidP="007707F8">
      <w:pPr>
        <w:widowControl w:val="0"/>
        <w:tabs>
          <w:tab w:val="left" w:pos="450"/>
        </w:tabs>
        <w:suppressAutoHyphens/>
        <w:autoSpaceDE w:val="0"/>
        <w:autoSpaceDN w:val="0"/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lang w:eastAsia="zh-CN" w:bidi="hi-IN"/>
        </w:rPr>
      </w:pPr>
    </w:p>
    <w:p w:rsidR="007707F8" w:rsidRPr="00293D67" w:rsidRDefault="007707F8" w:rsidP="007707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>Current business registration certificate</w:t>
      </w:r>
    </w:p>
    <w:p w:rsidR="007707F8" w:rsidRPr="00293D67" w:rsidRDefault="007707F8" w:rsidP="007707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>Current tax clearance.</w:t>
      </w:r>
    </w:p>
    <w:p w:rsidR="007707F8" w:rsidRPr="00293D67" w:rsidRDefault="007707F8" w:rsidP="007707F8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b/>
        </w:rPr>
      </w:pPr>
      <w:r w:rsidRPr="00293D67">
        <w:rPr>
          <w:rFonts w:ascii="Century Gothic" w:eastAsia="Times New Roman" w:hAnsi="Century Gothic" w:cs="Times New Roman"/>
          <w:b/>
        </w:rPr>
        <w:t>Record of past performance in providing similar goods along with three references.</w:t>
      </w:r>
    </w:p>
    <w:p w:rsidR="007707F8" w:rsidRPr="00293D67" w:rsidRDefault="007707F8" w:rsidP="007707F8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contextualSpacing/>
        <w:jc w:val="both"/>
        <w:rPr>
          <w:rFonts w:ascii="Century Gothic" w:eastAsia="Times New Roman" w:hAnsi="Century Gothic" w:cs="Times New Roman"/>
          <w:b/>
        </w:rPr>
      </w:pPr>
      <w:r w:rsidRPr="00293D67">
        <w:rPr>
          <w:rFonts w:ascii="Century Gothic" w:eastAsia="Times New Roman" w:hAnsi="Century Gothic" w:cs="Times New Roman"/>
          <w:b/>
        </w:rPr>
        <w:t>Submission of an audited financial statement for the last two years.</w:t>
      </w:r>
    </w:p>
    <w:p w:rsidR="007707F8" w:rsidRPr="00293D67" w:rsidRDefault="007707F8" w:rsidP="007707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>Availability of supply at all times.</w:t>
      </w:r>
    </w:p>
    <w:p w:rsidR="007707F8" w:rsidRPr="00293D67" w:rsidRDefault="007707F8" w:rsidP="007707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>Capacity to do at least (30) thirty days pre-finance of supply.</w:t>
      </w:r>
    </w:p>
    <w:p w:rsidR="007707F8" w:rsidRPr="00293D67" w:rsidRDefault="007707F8" w:rsidP="007707F8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>Must be part of the PPCC Vendors Registry.</w:t>
      </w:r>
    </w:p>
    <w:p w:rsidR="007707F8" w:rsidRPr="00293D67" w:rsidRDefault="007707F8" w:rsidP="007707F8">
      <w:pPr>
        <w:tabs>
          <w:tab w:val="left" w:pos="10365"/>
        </w:tabs>
        <w:ind w:left="1440"/>
        <w:contextualSpacing/>
        <w:rPr>
          <w:rFonts w:ascii="Century Gothic" w:eastAsia="Calibri" w:hAnsi="Century Gothic" w:cs="Times New Roman"/>
          <w:b/>
        </w:rPr>
      </w:pPr>
      <w:r w:rsidRPr="00293D67">
        <w:rPr>
          <w:rFonts w:ascii="Century Gothic" w:eastAsia="Calibri" w:hAnsi="Century Gothic" w:cs="Times New Roman"/>
          <w:b/>
        </w:rPr>
        <w:tab/>
      </w:r>
    </w:p>
    <w:p w:rsidR="007707F8" w:rsidRPr="00293D67" w:rsidRDefault="007707F8" w:rsidP="007707F8">
      <w:pPr>
        <w:rPr>
          <w:rFonts w:ascii="Century Gothic" w:eastAsia="Calibri" w:hAnsi="Century Gothic" w:cs="Times New Roman"/>
          <w:b/>
          <w:u w:val="single"/>
        </w:rPr>
      </w:pPr>
      <w:r w:rsidRPr="00293D67">
        <w:rPr>
          <w:rFonts w:ascii="Century Gothic" w:eastAsia="Calibri" w:hAnsi="Century Gothic" w:cs="Times New Roman"/>
          <w:b/>
          <w:u w:val="single"/>
        </w:rPr>
        <w:t>*Please see detailed qualifications requirements in the Bidding Document</w:t>
      </w:r>
    </w:p>
    <w:p w:rsidR="007707F8" w:rsidRPr="00293D67" w:rsidRDefault="007707F8" w:rsidP="007707F8">
      <w:pPr>
        <w:ind w:left="720"/>
        <w:contextualSpacing/>
        <w:rPr>
          <w:rFonts w:ascii="Century Gothic" w:eastAsia="Calibri" w:hAnsi="Century Gothic" w:cs="Times New Roman"/>
          <w:b/>
          <w:u w:val="single"/>
        </w:rPr>
      </w:pPr>
    </w:p>
    <w:p w:rsidR="007707F8" w:rsidRPr="00293D67" w:rsidRDefault="007707F8" w:rsidP="007707F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ascii="Century Gothic" w:hAnsi="Century Gothic"/>
          <w:i/>
          <w:spacing w:val="-2"/>
        </w:rPr>
      </w:pPr>
      <w:r w:rsidRPr="00293D67">
        <w:rPr>
          <w:rFonts w:ascii="Century Gothic" w:hAnsi="Century Gothic"/>
        </w:rPr>
        <w:t>You may obtain a copy of the bidding document from the Procurement Unit of NEC (9</w:t>
      </w:r>
      <w:r w:rsidRPr="00293D67">
        <w:rPr>
          <w:rFonts w:ascii="Century Gothic" w:hAnsi="Century Gothic"/>
          <w:vertAlign w:val="superscript"/>
        </w:rPr>
        <w:t>th</w:t>
      </w:r>
      <w:r w:rsidRPr="00293D67">
        <w:rPr>
          <w:rFonts w:ascii="Century Gothic" w:hAnsi="Century Gothic"/>
        </w:rPr>
        <w:t xml:space="preserve"> and 10</w:t>
      </w:r>
      <w:r w:rsidRPr="00293D67">
        <w:rPr>
          <w:rFonts w:ascii="Century Gothic" w:hAnsi="Century Gothic"/>
          <w:vertAlign w:val="superscript"/>
        </w:rPr>
        <w:t>th</w:t>
      </w:r>
      <w:r w:rsidRPr="00293D67">
        <w:rPr>
          <w:rFonts w:ascii="Century Gothic" w:hAnsi="Century Gothic"/>
        </w:rPr>
        <w:t xml:space="preserve"> Streets Sinkor, Monrovia, Liberia) for a non-refundable fee of US$50.00, beginning </w:t>
      </w:r>
      <w:r w:rsidR="00A24CFE">
        <w:rPr>
          <w:rFonts w:ascii="Century Gothic" w:hAnsi="Century Gothic"/>
          <w:b/>
          <w:spacing w:val="-2"/>
          <w:u w:val="single"/>
        </w:rPr>
        <w:t>Thursday</w:t>
      </w:r>
      <w:r w:rsidRPr="009B0AA0">
        <w:rPr>
          <w:rFonts w:ascii="Century Gothic" w:hAnsi="Century Gothic"/>
          <w:b/>
          <w:spacing w:val="-2"/>
          <w:u w:val="single"/>
        </w:rPr>
        <w:t xml:space="preserve">, </w:t>
      </w:r>
      <w:r w:rsidR="00A24CFE">
        <w:rPr>
          <w:rFonts w:ascii="Century Gothic" w:hAnsi="Century Gothic"/>
          <w:b/>
          <w:spacing w:val="-2"/>
          <w:u w:val="single"/>
        </w:rPr>
        <w:t>July 20</w:t>
      </w:r>
      <w:r w:rsidR="00846585">
        <w:rPr>
          <w:rFonts w:ascii="Century Gothic" w:hAnsi="Century Gothic"/>
          <w:b/>
          <w:spacing w:val="-2"/>
          <w:u w:val="single"/>
        </w:rPr>
        <w:t xml:space="preserve">, </w:t>
      </w:r>
      <w:r w:rsidRPr="009B0AA0">
        <w:rPr>
          <w:rFonts w:ascii="Century Gothic" w:hAnsi="Century Gothic"/>
          <w:b/>
          <w:u w:val="single"/>
        </w:rPr>
        <w:t>2017</w:t>
      </w:r>
      <w:r w:rsidR="00846585">
        <w:rPr>
          <w:rFonts w:ascii="Century Gothic" w:hAnsi="Century Gothic"/>
          <w:b/>
          <w:u w:val="single"/>
        </w:rPr>
        <w:t xml:space="preserve"> </w:t>
      </w:r>
      <w:r w:rsidRPr="00293D67">
        <w:rPr>
          <w:rFonts w:ascii="Century Gothic" w:hAnsi="Century Gothic"/>
        </w:rPr>
        <w:t>from</w:t>
      </w:r>
      <w:r w:rsidRPr="00293D67">
        <w:rPr>
          <w:rFonts w:ascii="Century Gothic" w:hAnsi="Century Gothic"/>
          <w:spacing w:val="-2"/>
        </w:rPr>
        <w:t xml:space="preserve"> 9:30am</w:t>
      </w:r>
      <w:r w:rsidRPr="00293D67">
        <w:rPr>
          <w:rFonts w:ascii="Century Gothic" w:hAnsi="Century Gothic"/>
          <w:i/>
          <w:spacing w:val="-2"/>
        </w:rPr>
        <w:t xml:space="preserve"> to 4:00pm</w:t>
      </w:r>
      <w:r w:rsidRPr="00293D67">
        <w:rPr>
          <w:rFonts w:ascii="Century Gothic" w:hAnsi="Century Gothic"/>
          <w:b/>
          <w:i/>
          <w:spacing w:val="-2"/>
        </w:rPr>
        <w:t xml:space="preserve"> </w:t>
      </w:r>
      <w:r w:rsidRPr="00293D67">
        <w:rPr>
          <w:rFonts w:ascii="Century Gothic" w:hAnsi="Century Gothic"/>
          <w:spacing w:val="-2"/>
        </w:rPr>
        <w:t>daily.</w:t>
      </w:r>
    </w:p>
    <w:p w:rsidR="007707F8" w:rsidRPr="00293D67" w:rsidRDefault="007707F8" w:rsidP="007707F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ascii="Century Gothic" w:hAnsi="Century Gothic"/>
          <w:spacing w:val="-2"/>
        </w:rPr>
      </w:pPr>
      <w:r w:rsidRPr="00293D67">
        <w:rPr>
          <w:rFonts w:ascii="Century Gothic" w:hAnsi="Century Gothic"/>
          <w:spacing w:val="-2"/>
        </w:rPr>
        <w:t xml:space="preserve">The bid Security shall be 2% of Bidder’s Total Bid price, and said amount shall be obtained from a reputable bank or Insurance Company and must be valid for 60 days after the deadline for submission.  Sealed bids must be delivered to the Procurement Unit not later than, </w:t>
      </w:r>
      <w:r w:rsidR="00A24CFE">
        <w:rPr>
          <w:rFonts w:ascii="Century Gothic" w:hAnsi="Century Gothic"/>
          <w:b/>
          <w:spacing w:val="-2"/>
          <w:u w:val="single"/>
        </w:rPr>
        <w:t>Thursday</w:t>
      </w:r>
      <w:r w:rsidRPr="009B0AA0">
        <w:rPr>
          <w:rFonts w:ascii="Century Gothic" w:hAnsi="Century Gothic"/>
          <w:b/>
          <w:spacing w:val="-2"/>
          <w:u w:val="single"/>
        </w:rPr>
        <w:t xml:space="preserve">, </w:t>
      </w:r>
      <w:r w:rsidR="00A24CFE">
        <w:rPr>
          <w:rFonts w:ascii="Century Gothic" w:hAnsi="Century Gothic"/>
          <w:b/>
          <w:u w:val="single"/>
        </w:rPr>
        <w:t>August 17</w:t>
      </w:r>
      <w:r w:rsidRPr="009B0AA0">
        <w:rPr>
          <w:rFonts w:ascii="Century Gothic" w:hAnsi="Century Gothic"/>
          <w:b/>
          <w:u w:val="single"/>
        </w:rPr>
        <w:t>, 2017</w:t>
      </w:r>
      <w:r>
        <w:rPr>
          <w:rFonts w:ascii="Century Gothic" w:hAnsi="Century Gothic"/>
          <w:b/>
          <w:u w:val="single"/>
        </w:rPr>
        <w:t xml:space="preserve">, </w:t>
      </w:r>
      <w:r w:rsidRPr="00293D67">
        <w:rPr>
          <w:rFonts w:ascii="Century Gothic" w:hAnsi="Century Gothic"/>
        </w:rPr>
        <w:t>at</w:t>
      </w:r>
      <w:r w:rsidRPr="00293D67">
        <w:rPr>
          <w:rFonts w:ascii="Century Gothic" w:hAnsi="Century Gothic"/>
          <w:spacing w:val="-2"/>
        </w:rPr>
        <w:t xml:space="preserve"> 2:00 PM. </w:t>
      </w:r>
      <w:r w:rsidRPr="00293D67">
        <w:rPr>
          <w:rFonts w:ascii="Century Gothic" w:hAnsi="Century Gothic"/>
          <w:b/>
          <w:spacing w:val="-2"/>
          <w:u w:val="single"/>
        </w:rPr>
        <w:t>Late bids will be rejected and returned unopened</w:t>
      </w:r>
      <w:r w:rsidRPr="00293D67">
        <w:rPr>
          <w:rFonts w:ascii="Century Gothic" w:hAnsi="Century Gothic"/>
          <w:spacing w:val="-2"/>
        </w:rPr>
        <w:t xml:space="preserve">. </w:t>
      </w:r>
    </w:p>
    <w:p w:rsidR="007707F8" w:rsidRPr="00293D67" w:rsidRDefault="007707F8" w:rsidP="007707F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ascii="Century Gothic" w:hAnsi="Century Gothic"/>
          <w:spacing w:val="-2"/>
        </w:rPr>
      </w:pPr>
      <w:r w:rsidRPr="00293D67">
        <w:rPr>
          <w:rFonts w:ascii="Century Gothic" w:hAnsi="Century Gothic"/>
          <w:spacing w:val="-2"/>
        </w:rPr>
        <w:t xml:space="preserve">Bids Submissions shall be opened in the presence of all bidders or representatives in attendance on </w:t>
      </w:r>
      <w:r w:rsidR="00A24CFE">
        <w:rPr>
          <w:rFonts w:ascii="Century Gothic" w:hAnsi="Century Gothic"/>
          <w:b/>
          <w:spacing w:val="-2"/>
          <w:u w:val="single"/>
        </w:rPr>
        <w:t>Thursday</w:t>
      </w:r>
      <w:r w:rsidRPr="009B0AA0">
        <w:rPr>
          <w:rFonts w:ascii="Century Gothic" w:hAnsi="Century Gothic"/>
          <w:b/>
          <w:spacing w:val="-2"/>
          <w:u w:val="single"/>
        </w:rPr>
        <w:t xml:space="preserve">, </w:t>
      </w:r>
      <w:r w:rsidR="00A24CFE">
        <w:rPr>
          <w:rFonts w:ascii="Century Gothic" w:hAnsi="Century Gothic"/>
          <w:b/>
          <w:u w:val="single"/>
        </w:rPr>
        <w:t>August 17</w:t>
      </w:r>
      <w:r w:rsidRPr="009B0AA0">
        <w:rPr>
          <w:rFonts w:ascii="Century Gothic" w:hAnsi="Century Gothic"/>
          <w:b/>
          <w:u w:val="single"/>
        </w:rPr>
        <w:t>, 2017</w:t>
      </w:r>
      <w:r w:rsidRPr="00293D67">
        <w:rPr>
          <w:rFonts w:ascii="Century Gothic" w:hAnsi="Century Gothic"/>
        </w:rPr>
        <w:t xml:space="preserve"> in</w:t>
      </w:r>
      <w:r w:rsidRPr="00293D67">
        <w:rPr>
          <w:rFonts w:ascii="Century Gothic" w:hAnsi="Century Gothic"/>
          <w:spacing w:val="-2"/>
        </w:rPr>
        <w:t xml:space="preserve"> the conference room of the Commission.</w:t>
      </w:r>
    </w:p>
    <w:p w:rsidR="007707F8" w:rsidRPr="00002642" w:rsidRDefault="007707F8" w:rsidP="007707F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ascii="Century Gothic" w:hAnsi="Century Gothic"/>
          <w:i/>
          <w:spacing w:val="-2"/>
        </w:rPr>
      </w:pPr>
      <w:r w:rsidRPr="00002642">
        <w:rPr>
          <w:rFonts w:ascii="Century Gothic" w:hAnsi="Century Gothic"/>
          <w:i/>
          <w:spacing w:val="-2"/>
        </w:rPr>
        <w:t xml:space="preserve"> </w:t>
      </w:r>
    </w:p>
    <w:p w:rsidR="007707F8" w:rsidRPr="00002642" w:rsidRDefault="007707F8" w:rsidP="007707F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ascii="Century Gothic" w:hAnsi="Century Gothic"/>
          <w:b/>
          <w:i/>
          <w:spacing w:val="-2"/>
        </w:rPr>
      </w:pPr>
      <w:r w:rsidRPr="00002642">
        <w:rPr>
          <w:rFonts w:ascii="Century Gothic" w:hAnsi="Century Gothic"/>
          <w:b/>
          <w:i/>
          <w:spacing w:val="-2"/>
        </w:rPr>
        <w:t>Signed: ________________________</w:t>
      </w:r>
    </w:p>
    <w:p w:rsidR="007707F8" w:rsidRPr="00002642" w:rsidRDefault="007707F8" w:rsidP="007707F8">
      <w:pPr>
        <w:spacing w:line="240" w:lineRule="auto"/>
        <w:rPr>
          <w:rFonts w:ascii="Century Gothic" w:hAnsi="Century Gothic"/>
          <w:b/>
        </w:rPr>
      </w:pPr>
      <w:r w:rsidRPr="00002642">
        <w:rPr>
          <w:rFonts w:ascii="Century Gothic" w:hAnsi="Century Gothic"/>
          <w:b/>
        </w:rPr>
        <w:t xml:space="preserve">              National Elections Commission (NEC)</w:t>
      </w:r>
    </w:p>
    <w:p w:rsidR="007707F8" w:rsidRPr="00002642" w:rsidRDefault="007707F8" w:rsidP="007707F8"/>
    <w:p w:rsidR="00DE5531" w:rsidRDefault="00DE5531"/>
    <w:sectPr w:rsidR="00DE5531" w:rsidSect="002760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A71"/>
    <w:multiLevelType w:val="hybridMultilevel"/>
    <w:tmpl w:val="4BFC71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8"/>
    <w:rsid w:val="000C3B6E"/>
    <w:rsid w:val="00136D3F"/>
    <w:rsid w:val="002B0EA6"/>
    <w:rsid w:val="003C36B1"/>
    <w:rsid w:val="00557258"/>
    <w:rsid w:val="005F230E"/>
    <w:rsid w:val="006046BD"/>
    <w:rsid w:val="007707F8"/>
    <w:rsid w:val="00846585"/>
    <w:rsid w:val="008F11FF"/>
    <w:rsid w:val="009A35F8"/>
    <w:rsid w:val="009B52FC"/>
    <w:rsid w:val="009C0096"/>
    <w:rsid w:val="00A24CFE"/>
    <w:rsid w:val="00AB6D97"/>
    <w:rsid w:val="00AC54AD"/>
    <w:rsid w:val="00BA09C3"/>
    <w:rsid w:val="00BF4A59"/>
    <w:rsid w:val="00CB100D"/>
    <w:rsid w:val="00CC67EB"/>
    <w:rsid w:val="00CE008A"/>
    <w:rsid w:val="00D5731D"/>
    <w:rsid w:val="00D822CA"/>
    <w:rsid w:val="00DE5531"/>
    <w:rsid w:val="00E307FC"/>
    <w:rsid w:val="00EC6E74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8"/>
    <w:pPr>
      <w:spacing w:after="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8"/>
    <w:pPr>
      <w:spacing w:after="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J.Roseline N. Kowo</dc:creator>
  <cp:lastModifiedBy>FESTECK</cp:lastModifiedBy>
  <cp:revision>2</cp:revision>
  <cp:lastPrinted>2017-07-18T16:37:00Z</cp:lastPrinted>
  <dcterms:created xsi:type="dcterms:W3CDTF">2017-07-19T21:41:00Z</dcterms:created>
  <dcterms:modified xsi:type="dcterms:W3CDTF">2017-07-19T21:41:00Z</dcterms:modified>
</cp:coreProperties>
</file>